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59"/>
        <w:ind w:left="51" w:right="0" w:firstLine="0"/>
        <w:jc w:val="center"/>
        <w:rPr/>
      </w:pPr>
      <w:r>
        <w:rPr>
          <w:b/>
          <w:i/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1096380</wp:posOffset>
            </wp:positionH>
            <wp:positionV relativeFrom="paragraph">
              <wp:posOffset>-385005</wp:posOffset>
            </wp:positionV>
            <wp:extent cx="2015355" cy="1557494"/>
            <wp:effectExtent l="0" t="0" r="0" b="0"/>
            <wp:wrapNone/>
            <wp:docPr id="1026" name="Imagen 1" descr="K:\Cnvención Varona 2025\Convención Varona Carteles\logo convención Varona-0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15355" cy="155749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</w:t>
      </w:r>
    </w:p>
    <w:p>
      <w:pPr>
        <w:pStyle w:val="style0"/>
        <w:spacing w:after="0" w:lineRule="auto" w:line="259"/>
        <w:ind w:left="52" w:right="0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jc w:val="center"/>
        <w:rPr>
          <w:b/>
        </w:rPr>
      </w:pPr>
    </w:p>
    <w:p>
      <w:pPr>
        <w:pStyle w:val="style0"/>
        <w:spacing w:after="0" w:lineRule="auto" w:line="259"/>
        <w:ind w:left="0" w:right="0" w:firstLine="0"/>
        <w:jc w:val="center"/>
        <w:rPr>
          <w:b/>
        </w:rPr>
      </w:pPr>
    </w:p>
    <w:p>
      <w:pPr>
        <w:pStyle w:val="style0"/>
        <w:spacing w:after="0" w:lineRule="auto" w:line="259"/>
        <w:ind w:left="0" w:right="0" w:firstLine="0"/>
        <w:jc w:val="center"/>
        <w:rPr>
          <w:b/>
        </w:rPr>
      </w:pPr>
    </w:p>
    <w:p>
      <w:pPr>
        <w:pStyle w:val="style0"/>
        <w:spacing w:after="0" w:lineRule="auto" w:line="259"/>
        <w:ind w:left="0" w:right="0" w:firstLine="0"/>
        <w:jc w:val="center"/>
        <w:rPr>
          <w:b/>
        </w:rPr>
      </w:pPr>
    </w:p>
    <w:p>
      <w:pPr>
        <w:pStyle w:val="style0"/>
        <w:spacing w:after="0" w:lineRule="auto" w:line="259"/>
        <w:ind w:left="0" w:right="0" w:firstLine="0"/>
        <w:jc w:val="center"/>
        <w:rPr/>
      </w:pPr>
      <w:r>
        <w:rPr>
          <w:b/>
        </w:rPr>
        <w:t xml:space="preserve">IV CONVENCIÓN INTERNACIONAL VARONA 2025 </w:t>
      </w:r>
    </w:p>
    <w:p>
      <w:pPr>
        <w:pStyle w:val="style0"/>
        <w:spacing w:after="0" w:lineRule="auto" w:line="259"/>
        <w:ind w:left="52" w:right="0" w:firstLine="0"/>
        <w:jc w:val="center"/>
        <w:rPr/>
      </w:pPr>
      <w:r>
        <w:rPr>
          <w:b/>
          <w:i/>
        </w:rPr>
        <w:t xml:space="preserve"> </w:t>
      </w:r>
    </w:p>
    <w:p>
      <w:pPr>
        <w:pStyle w:val="style0"/>
        <w:spacing w:after="0" w:lineRule="auto" w:line="259"/>
        <w:ind w:left="2" w:right="0" w:firstLine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“Por una formación integral y sostenible del profesional de la educación”</w:t>
      </w:r>
    </w:p>
    <w:p>
      <w:pPr>
        <w:pStyle w:val="style0"/>
        <w:spacing w:after="0" w:lineRule="auto" w:line="259"/>
        <w:ind w:left="2" w:right="0" w:firstLine="0"/>
        <w:jc w:val="center"/>
        <w:rPr>
          <w:rFonts w:cs="Calibri"/>
          <w:b/>
          <w:bCs/>
          <w:sz w:val="24"/>
          <w:szCs w:val="24"/>
        </w:rPr>
      </w:pPr>
    </w:p>
    <w:p>
      <w:pPr>
        <w:pStyle w:val="style0"/>
        <w:spacing w:before="120" w:after="120" w:lineRule="auto" w:line="259"/>
        <w:ind w:left="2" w:right="0" w:firstLine="0"/>
        <w:jc w:val="center"/>
        <w:rPr/>
      </w:pPr>
      <w:r>
        <w:rPr>
          <w:rFonts w:ascii="Lucida Calligraphy" w:cs="Lucida Calligraphy" w:eastAsia="Lucida Calligraphy" w:hAnsi="Lucida Calligraphy"/>
        </w:rPr>
        <w:t xml:space="preserve">Modalidad presencial y virtual </w:t>
      </w:r>
    </w:p>
    <w:p>
      <w:pPr>
        <w:pStyle w:val="style0"/>
        <w:spacing w:before="120" w:after="120"/>
        <w:rPr/>
      </w:pPr>
    </w:p>
    <w:p>
      <w:pPr>
        <w:pStyle w:val="style0"/>
        <w:spacing w:before="120" w:after="120"/>
        <w:rPr/>
        <w:sectPr>
          <w:pgSz w:w="12240" w:h="15840" w:orient="portrait"/>
          <w:pgMar w:top="994" w:right="3170" w:bottom="1440" w:left="3171" w:header="720" w:footer="720" w:gutter="0"/>
          <w:cols w:space="720"/>
        </w:sectPr>
      </w:pPr>
    </w:p>
    <w:p>
      <w:pPr>
        <w:pStyle w:val="style0"/>
        <w:spacing w:before="120" w:after="120" w:lineRule="auto" w:line="259"/>
        <w:ind w:left="0" w:right="0" w:firstLine="0"/>
        <w:rPr>
          <w:color w:val="ff0000"/>
        </w:rPr>
      </w:pPr>
      <w:r>
        <w:t>La Universidad de Ciencias Pedagógicas Enrique José Varona, Universidad de Excelencia, convoca a participar a docentes, investigadores y estudiantes en la</w:t>
      </w:r>
      <w:r>
        <w:t xml:space="preserve"> IV</w:t>
      </w:r>
      <w:r>
        <w:t xml:space="preserve"> Convención Internacional Varona 2025 que se desarrollará en el Hotel </w:t>
      </w:r>
      <w:r>
        <w:t>Memories</w:t>
      </w:r>
      <w:r>
        <w:t xml:space="preserve"> Miramar</w:t>
      </w:r>
      <w:r>
        <w:t xml:space="preserve"> Habana y la Universidad de Ciencias Pedagógicas</w:t>
      </w:r>
      <w:r>
        <w:t>, La Habana, Cuba, los días 9</w:t>
      </w:r>
      <w:r>
        <w:t>; 10 y 11</w:t>
      </w:r>
      <w:r>
        <w:t xml:space="preserve"> de junio del 202</w:t>
      </w:r>
      <w:r>
        <w:t>5</w:t>
      </w:r>
      <w:r>
        <w:rPr>
          <w:color w:val="ff0000"/>
        </w:rPr>
        <w:t xml:space="preserve">. </w:t>
      </w:r>
    </w:p>
    <w:p>
      <w:pPr>
        <w:pStyle w:val="style0"/>
        <w:ind w:left="-5" w:right="0"/>
        <w:rPr/>
      </w:pPr>
      <w:r>
        <w:rPr>
          <w:b/>
        </w:rPr>
        <w:t>Tema central:</w:t>
      </w:r>
      <w:r>
        <w:t xml:space="preserve"> </w:t>
      </w:r>
      <w:r>
        <w:t>Por una formación integral y sostenible del profesional de la educación</w:t>
      </w:r>
      <w:r>
        <w:t xml:space="preserve">. </w:t>
      </w:r>
    </w:p>
    <w:p>
      <w:pPr>
        <w:pStyle w:val="style0"/>
        <w:ind w:left="-5" w:right="0"/>
        <w:rPr/>
      </w:pPr>
      <w:r>
        <w:t>Con</w:t>
      </w:r>
      <w:r>
        <w:t xml:space="preserve"> este propósito, las temáticas que se desarrollarán en la </w:t>
      </w:r>
      <w:r>
        <w:rPr>
          <w:b/>
          <w:bCs/>
        </w:rPr>
        <w:t>IV</w:t>
      </w:r>
      <w:r>
        <w:t xml:space="preserve"> </w:t>
      </w:r>
      <w:r>
        <w:rPr>
          <w:b/>
        </w:rPr>
        <w:t>CONVENCIÓN INTERNACIONAL VARONA 202</w:t>
      </w:r>
      <w:r>
        <w:rPr>
          <w:b/>
        </w:rPr>
        <w:t>5</w:t>
      </w:r>
      <w:r>
        <w:rPr>
          <w:b/>
        </w:rPr>
        <w:t xml:space="preserve"> </w:t>
      </w:r>
      <w:r>
        <w:t xml:space="preserve">permitirán compartir criterios, socializar las mejores prácticas educativas y trazar canales de comunicación que fortalezcan la integración desde la ciencia, la tecnología y la innovación en función del desarrollo social próspero y sostenible.  </w:t>
      </w:r>
    </w:p>
    <w:p>
      <w:pPr>
        <w:pStyle w:val="style0"/>
        <w:ind w:left="-5"/>
        <w:rPr/>
      </w:pPr>
      <w:r>
        <w:t>La convención incluye otras actividades</w:t>
      </w:r>
      <w:r>
        <w:t xml:space="preserve"> </w:t>
      </w:r>
      <w:r>
        <w:t xml:space="preserve">como: </w:t>
      </w:r>
    </w:p>
    <w:p>
      <w:pPr>
        <w:pStyle w:val="style179"/>
        <w:numPr>
          <w:ilvl w:val="0"/>
          <w:numId w:val="1"/>
        </w:numPr>
        <w:ind w:left="142" w:hanging="142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Foro de Rectores de Universidades extranjeras.</w:t>
      </w:r>
    </w:p>
    <w:p>
      <w:pPr>
        <w:pStyle w:val="style179"/>
        <w:numPr>
          <w:ilvl w:val="0"/>
          <w:numId w:val="1"/>
        </w:numPr>
        <w:ind w:left="142" w:hanging="142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Encuentro de egresados extranjeros</w:t>
      </w:r>
      <w:r>
        <w:rPr>
          <w:rFonts w:ascii="Arial" w:cs="Arial" w:eastAsia="Arial" w:hAnsi="Arial"/>
          <w:color w:val="000000"/>
          <w:lang w:val="es-ES" w:eastAsia="es-ES"/>
        </w:rPr>
        <w:t xml:space="preserve"> de pregrado y posgrado</w:t>
      </w:r>
      <w:r>
        <w:rPr>
          <w:rFonts w:ascii="Arial" w:cs="Arial" w:eastAsia="Arial" w:hAnsi="Arial"/>
          <w:color w:val="000000"/>
          <w:lang w:val="es-ES" w:eastAsia="es-ES"/>
        </w:rPr>
        <w:t xml:space="preserve"> </w:t>
      </w:r>
      <w:r>
        <w:rPr>
          <w:rFonts w:ascii="Arial" w:cs="Arial" w:eastAsia="Arial" w:hAnsi="Arial"/>
          <w:color w:val="000000"/>
          <w:lang w:val="es-ES" w:eastAsia="es-ES"/>
        </w:rPr>
        <w:t>formados en</w:t>
      </w:r>
      <w:r>
        <w:rPr>
          <w:rFonts w:ascii="Arial" w:cs="Arial" w:eastAsia="Arial" w:hAnsi="Arial"/>
          <w:color w:val="000000"/>
          <w:lang w:val="es-ES" w:eastAsia="es-ES"/>
        </w:rPr>
        <w:t xml:space="preserve"> la UCPEJV</w:t>
      </w:r>
      <w:r>
        <w:rPr>
          <w:rFonts w:ascii="Arial" w:cs="Arial" w:eastAsia="Arial" w:hAnsi="Arial"/>
          <w:color w:val="000000"/>
          <w:lang w:val="es-ES" w:eastAsia="es-ES"/>
        </w:rPr>
        <w:t>.</w:t>
      </w:r>
      <w:r>
        <w:rPr>
          <w:rFonts w:ascii="Arial" w:cs="Arial" w:eastAsia="Arial" w:hAnsi="Arial"/>
          <w:color w:val="000000"/>
          <w:lang w:val="es-ES" w:eastAsia="es-ES"/>
        </w:rPr>
        <w:t xml:space="preserve">  </w:t>
      </w:r>
    </w:p>
    <w:p>
      <w:pPr>
        <w:pStyle w:val="style179"/>
        <w:numPr>
          <w:ilvl w:val="0"/>
          <w:numId w:val="1"/>
        </w:numPr>
        <w:ind w:left="142" w:hanging="142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Taller de intercambio del programa sectorial</w:t>
      </w:r>
      <w:r>
        <w:rPr>
          <w:rFonts w:ascii="Arial" w:cs="Arial" w:eastAsia="Arial" w:hAnsi="Arial"/>
          <w:color w:val="000000"/>
          <w:lang w:val="es-ES" w:eastAsia="es-ES"/>
        </w:rPr>
        <w:t>: La formación integral universitaria para la innovación y el desarrollo sostenible.</w:t>
      </w:r>
    </w:p>
    <w:p>
      <w:pPr>
        <w:pStyle w:val="style179"/>
        <w:numPr>
          <w:ilvl w:val="0"/>
          <w:numId w:val="1"/>
        </w:numPr>
        <w:ind w:left="142" w:hanging="142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Conferencias on-line y cursos eventos.</w:t>
      </w:r>
    </w:p>
    <w:p>
      <w:pPr>
        <w:pStyle w:val="style179"/>
        <w:numPr>
          <w:ilvl w:val="0"/>
          <w:numId w:val="1"/>
        </w:numPr>
        <w:ind w:left="142" w:hanging="142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Expoventa</w:t>
      </w:r>
      <w:r>
        <w:rPr>
          <w:rFonts w:ascii="Arial" w:cs="Arial" w:eastAsia="Arial" w:hAnsi="Arial"/>
          <w:color w:val="000000"/>
          <w:lang w:val="es-ES" w:eastAsia="es-ES"/>
        </w:rPr>
        <w:t xml:space="preserve">: </w:t>
      </w:r>
      <w:r>
        <w:rPr>
          <w:rFonts w:ascii="Arial" w:cs="Arial" w:eastAsia="Arial" w:hAnsi="Arial"/>
          <w:color w:val="000000"/>
          <w:lang w:val="es-ES" w:eastAsia="es-ES"/>
        </w:rPr>
        <w:t>MiPyME</w:t>
      </w:r>
      <w:r>
        <w:rPr>
          <w:rFonts w:ascii="Arial" w:cs="Arial" w:eastAsia="Arial" w:hAnsi="Arial"/>
          <w:color w:val="000000"/>
          <w:lang w:val="es-ES" w:eastAsia="es-ES"/>
        </w:rPr>
        <w:t xml:space="preserve"> </w:t>
      </w:r>
      <w:r>
        <w:rPr>
          <w:rFonts w:ascii="Arial" w:cs="Arial" w:eastAsia="Arial" w:hAnsi="Arial"/>
          <w:color w:val="000000"/>
          <w:lang w:val="es-ES" w:eastAsia="es-ES"/>
        </w:rPr>
        <w:t>Medilab</w:t>
      </w:r>
      <w:r>
        <w:rPr>
          <w:rFonts w:ascii="Arial" w:cs="Arial" w:eastAsia="Arial" w:hAnsi="Arial"/>
          <w:color w:val="000000"/>
          <w:lang w:val="es-ES" w:eastAsia="es-ES"/>
        </w:rPr>
        <w:t>.</w:t>
      </w:r>
    </w:p>
    <w:p>
      <w:pPr>
        <w:pStyle w:val="style0"/>
        <w:spacing w:after="31" w:lineRule="auto" w:line="259"/>
        <w:ind w:left="-5" w:right="0"/>
        <w:jc w:val="left"/>
        <w:rPr>
          <w:b/>
        </w:rPr>
      </w:pPr>
    </w:p>
    <w:p>
      <w:pPr>
        <w:pStyle w:val="style0"/>
        <w:spacing w:after="31" w:lineRule="auto" w:line="259"/>
        <w:ind w:left="-5" w:right="0"/>
        <w:jc w:val="left"/>
        <w:rPr>
          <w:b/>
        </w:rPr>
      </w:pPr>
    </w:p>
    <w:p>
      <w:pPr>
        <w:pStyle w:val="style0"/>
        <w:spacing w:after="31" w:lineRule="auto" w:line="259"/>
        <w:ind w:left="-5" w:right="0"/>
        <w:jc w:val="left"/>
        <w:rPr>
          <w:b/>
        </w:rPr>
      </w:pPr>
    </w:p>
    <w:p>
      <w:pPr>
        <w:pStyle w:val="style0"/>
        <w:spacing w:after="31" w:lineRule="auto" w:line="259"/>
        <w:ind w:left="-5" w:right="0"/>
        <w:jc w:val="left"/>
        <w:rPr/>
      </w:pPr>
      <w:r>
        <w:rPr>
          <w:b/>
        </w:rPr>
        <w:t>Si</w:t>
      </w:r>
      <w:r>
        <w:rPr>
          <w:b/>
        </w:rPr>
        <w:t>mposios</w:t>
      </w:r>
      <w:r>
        <w:rPr>
          <w:b/>
        </w:rPr>
        <w:t xml:space="preserve">:  </w:t>
      </w:r>
    </w:p>
    <w:p>
      <w:pPr>
        <w:pStyle w:val="style0"/>
        <w:spacing w:after="0" w:lineRule="auto" w:line="240"/>
        <w:ind w:left="0"/>
        <w:rPr/>
      </w:pPr>
      <w:r>
        <w:t>1</w:t>
      </w:r>
      <w:r>
        <w:t>er Simposio:</w:t>
      </w:r>
      <w:r>
        <w:t xml:space="preserve"> </w:t>
      </w:r>
      <w:r>
        <w:t>La formación integral y continua del profesional de la educación en el vínculo universidad-sociedad.</w:t>
      </w:r>
    </w:p>
    <w:p>
      <w:pPr>
        <w:pStyle w:val="style179"/>
        <w:spacing w:after="0" w:lineRule="auto" w:line="240"/>
        <w:ind w:left="709" w:hanging="709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cs="Calibri"/>
          <w:b/>
          <w:bCs/>
          <w:sz w:val="24"/>
          <w:szCs w:val="24"/>
          <w:lang w:val="es-CO"/>
        </w:rPr>
        <w:t>Coordinadora:</w:t>
      </w:r>
      <w:r>
        <w:rPr>
          <w:rFonts w:cs="Calibri"/>
          <w:sz w:val="24"/>
          <w:szCs w:val="24"/>
          <w:lang w:val="es-CO"/>
        </w:rPr>
        <w:t xml:space="preserve"> </w:t>
      </w:r>
      <w:r>
        <w:rPr>
          <w:rFonts w:ascii="Arial" w:cs="Arial" w:eastAsia="Arial" w:hAnsi="Arial"/>
          <w:color w:val="000000"/>
          <w:lang w:val="es-ES" w:eastAsia="es-ES"/>
        </w:rPr>
        <w:t xml:space="preserve">Dr. C. </w:t>
      </w:r>
      <w:r>
        <w:rPr>
          <w:rFonts w:ascii="Arial" w:cs="Arial" w:eastAsia="Arial" w:hAnsi="Arial"/>
          <w:color w:val="000000"/>
          <w:lang w:val="es-ES" w:eastAsia="es-ES"/>
        </w:rPr>
        <w:t>Sulma</w:t>
      </w:r>
      <w:r>
        <w:rPr>
          <w:rFonts w:ascii="Arial" w:cs="Arial" w:eastAsia="Arial" w:hAnsi="Arial"/>
          <w:color w:val="000000"/>
          <w:lang w:val="es-ES" w:eastAsia="es-ES"/>
        </w:rPr>
        <w:t xml:space="preserve"> Rosa Herrera</w:t>
      </w:r>
    </w:p>
    <w:p>
      <w:pPr>
        <w:pStyle w:val="style179"/>
        <w:spacing w:after="0" w:lineRule="auto" w:line="240"/>
        <w:ind w:left="709" w:hanging="709"/>
        <w:jc w:val="both"/>
        <w:rPr>
          <w:rFonts w:cs="Calibri"/>
          <w:bCs/>
          <w:sz w:val="24"/>
          <w:szCs w:val="24"/>
          <w:lang w:val="es-ES"/>
        </w:rPr>
      </w:pPr>
      <w:r>
        <w:rPr>
          <w:rFonts w:ascii="Arial" w:cs="Arial" w:eastAsia="Arial" w:hAnsi="Arial"/>
          <w:color w:val="000000"/>
          <w:lang w:val="es-ES" w:eastAsia="es-ES"/>
        </w:rPr>
        <w:t>Cuesta</w:t>
      </w:r>
    </w:p>
    <w:p>
      <w:pPr>
        <w:pStyle w:val="style179"/>
        <w:numPr>
          <w:ilvl w:val="0"/>
          <w:numId w:val="10"/>
        </w:numPr>
        <w:spacing w:after="0" w:lineRule="auto" w:line="240"/>
        <w:ind w:left="142" w:hanging="142"/>
        <w:jc w:val="both"/>
        <w:rPr>
          <w:rFonts w:ascii="Arial" w:cs="Arial" w:eastAsia="Arial" w:hAnsi="Arial"/>
          <w:color w:val="000000"/>
          <w:lang w:eastAsia="es-ES"/>
        </w:rPr>
      </w:pPr>
      <w:r>
        <w:rPr>
          <w:rFonts w:ascii="Arial" w:cs="Arial" w:eastAsia="Arial" w:hAnsi="Arial"/>
          <w:color w:val="000000"/>
          <w:lang w:val="es-CO" w:eastAsia="es-ES"/>
        </w:rPr>
        <w:t>El perfeccionamiento de la formación integral y continua de los profesionales de la educación.</w:t>
      </w:r>
    </w:p>
    <w:p>
      <w:pPr>
        <w:pStyle w:val="style179"/>
        <w:numPr>
          <w:ilvl w:val="0"/>
          <w:numId w:val="10"/>
        </w:numPr>
        <w:spacing w:after="0" w:lineRule="auto" w:line="240"/>
        <w:ind w:left="142" w:hanging="142"/>
        <w:jc w:val="both"/>
        <w:rPr>
          <w:rFonts w:ascii="Arial" w:cs="Arial" w:eastAsia="Arial" w:hAnsi="Arial"/>
          <w:color w:val="000000"/>
          <w:lang w:eastAsia="es-ES"/>
        </w:rPr>
      </w:pPr>
      <w:r>
        <w:rPr>
          <w:rFonts w:ascii="Arial" w:cs="Arial" w:eastAsia="Arial" w:hAnsi="Arial"/>
          <w:color w:val="000000"/>
          <w:lang w:eastAsia="es-ES"/>
        </w:rPr>
        <w:t>La orientación vocacional y profesional pedagógica.</w:t>
      </w:r>
    </w:p>
    <w:p>
      <w:pPr>
        <w:pStyle w:val="style179"/>
        <w:numPr>
          <w:ilvl w:val="0"/>
          <w:numId w:val="10"/>
        </w:numPr>
        <w:spacing w:after="0" w:lineRule="auto" w:line="240"/>
        <w:ind w:left="142" w:hanging="142"/>
        <w:jc w:val="both"/>
        <w:rPr>
          <w:rFonts w:ascii="Arial" w:cs="Arial" w:eastAsia="Arial" w:hAnsi="Arial"/>
          <w:color w:val="000000"/>
          <w:lang w:eastAsia="es-ES"/>
        </w:rPr>
      </w:pPr>
      <w:r>
        <w:rPr>
          <w:rFonts w:ascii="Arial" w:cs="Arial" w:eastAsia="Arial" w:hAnsi="Arial"/>
          <w:color w:val="000000"/>
          <w:lang w:eastAsia="es-ES"/>
        </w:rPr>
        <w:t>La formación ética, estética, axiológica, moral y ciudadana de los profesionales de la educación.</w:t>
      </w:r>
    </w:p>
    <w:p>
      <w:pPr>
        <w:pStyle w:val="style179"/>
        <w:numPr>
          <w:ilvl w:val="0"/>
          <w:numId w:val="10"/>
        </w:numPr>
        <w:spacing w:after="0" w:lineRule="auto" w:line="240"/>
        <w:ind w:left="142" w:hanging="142"/>
        <w:jc w:val="both"/>
        <w:rPr>
          <w:rFonts w:ascii="Arial" w:cs="Arial" w:eastAsia="Arial" w:hAnsi="Arial"/>
          <w:color w:val="000000"/>
          <w:lang w:eastAsia="es-ES"/>
        </w:rPr>
      </w:pPr>
      <w:r>
        <w:rPr>
          <w:rFonts w:ascii="Arial" w:cs="Arial" w:eastAsia="Arial" w:hAnsi="Arial"/>
          <w:color w:val="000000"/>
          <w:lang w:eastAsia="es-ES"/>
        </w:rPr>
        <w:t>La pedagogía y la didáctica en la escuela cubana. Las didácticas particulares para la formación integral del profesional de la educación.</w:t>
      </w:r>
    </w:p>
    <w:p>
      <w:pPr>
        <w:pStyle w:val="style0"/>
        <w:spacing w:after="0" w:lineRule="auto" w:line="240"/>
        <w:ind w:left="2" w:firstLine="0"/>
        <w:rPr/>
      </w:pPr>
      <w:r>
        <w:t>2</w:t>
      </w:r>
      <w:r>
        <w:t>do Simposio:</w:t>
      </w:r>
      <w:r>
        <w:t xml:space="preserve"> </w:t>
      </w:r>
      <w:r>
        <w:t>Regularidades y tendencias de las ciencias de la educación para la implementación de las políticas sociales.</w:t>
      </w:r>
    </w:p>
    <w:p>
      <w:pPr>
        <w:pStyle w:val="style179"/>
        <w:spacing w:after="0" w:lineRule="auto" w:line="240"/>
        <w:ind w:left="709" w:hanging="709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cs="Calibri"/>
          <w:b/>
          <w:bCs/>
          <w:sz w:val="24"/>
          <w:szCs w:val="24"/>
          <w:lang w:val="es-CO"/>
        </w:rPr>
        <w:t>Coordinadora:</w:t>
      </w:r>
      <w:r>
        <w:rPr>
          <w:rFonts w:cs="Calibri"/>
          <w:sz w:val="24"/>
          <w:szCs w:val="24"/>
          <w:lang w:val="es-CO"/>
        </w:rPr>
        <w:t xml:space="preserve"> </w:t>
      </w:r>
      <w:r>
        <w:rPr>
          <w:rFonts w:ascii="Arial" w:cs="Arial" w:eastAsia="Arial" w:hAnsi="Arial"/>
          <w:color w:val="000000"/>
          <w:lang w:val="es-ES" w:eastAsia="es-ES"/>
        </w:rPr>
        <w:t xml:space="preserve">Dr. C. </w:t>
      </w:r>
      <w:r>
        <w:rPr>
          <w:rFonts w:ascii="Arial" w:cs="Arial" w:eastAsia="Arial" w:hAnsi="Arial"/>
          <w:color w:val="000000"/>
          <w:lang w:val="es-ES" w:eastAsia="es-ES"/>
        </w:rPr>
        <w:t>Yanelin</w:t>
      </w:r>
      <w:r>
        <w:rPr>
          <w:rFonts w:ascii="Arial" w:cs="Arial" w:eastAsia="Arial" w:hAnsi="Arial"/>
          <w:color w:val="000000"/>
          <w:lang w:val="es-ES" w:eastAsia="es-ES"/>
        </w:rPr>
        <w:t xml:space="preserve"> López</w:t>
      </w:r>
    </w:p>
    <w:p>
      <w:pPr>
        <w:pStyle w:val="style179"/>
        <w:spacing w:after="0" w:lineRule="auto" w:line="240"/>
        <w:ind w:left="709" w:hanging="709"/>
        <w:jc w:val="both"/>
        <w:rPr>
          <w:rFonts w:cs="Calibri"/>
          <w:bCs/>
          <w:sz w:val="24"/>
          <w:szCs w:val="24"/>
          <w:lang w:val="es-ES"/>
        </w:rPr>
      </w:pPr>
      <w:r>
        <w:rPr>
          <w:rFonts w:ascii="Arial" w:cs="Arial" w:eastAsia="Arial" w:hAnsi="Arial"/>
          <w:color w:val="000000"/>
          <w:lang w:val="es-ES" w:eastAsia="es-ES"/>
        </w:rPr>
        <w:t>Rodríguez</w:t>
      </w:r>
    </w:p>
    <w:p>
      <w:pPr>
        <w:pStyle w:val="style179"/>
        <w:numPr>
          <w:ilvl w:val="0"/>
          <w:numId w:val="15"/>
        </w:numPr>
        <w:tabs>
          <w:tab w:val="clear" w:pos="720"/>
        </w:tabs>
        <w:spacing w:after="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La educación ambiental y energética.</w:t>
      </w:r>
    </w:p>
    <w:p>
      <w:pPr>
        <w:pStyle w:val="style179"/>
        <w:numPr>
          <w:ilvl w:val="0"/>
          <w:numId w:val="15"/>
        </w:numPr>
        <w:tabs>
          <w:tab w:val="clear" w:pos="720"/>
        </w:tabs>
        <w:spacing w:after="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La transformación digital en la educación.</w:t>
      </w:r>
    </w:p>
    <w:p>
      <w:pPr>
        <w:pStyle w:val="style179"/>
        <w:numPr>
          <w:ilvl w:val="0"/>
          <w:numId w:val="15"/>
        </w:numPr>
        <w:tabs>
          <w:tab w:val="clear" w:pos="720"/>
        </w:tabs>
        <w:spacing w:after="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La atención educativa a la diversidad en la educación.</w:t>
      </w:r>
    </w:p>
    <w:p>
      <w:pPr>
        <w:pStyle w:val="style179"/>
        <w:numPr>
          <w:ilvl w:val="0"/>
          <w:numId w:val="15"/>
        </w:numPr>
        <w:tabs>
          <w:tab w:val="clear" w:pos="720"/>
        </w:tabs>
        <w:spacing w:after="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La gestión de la información científico técnica.</w:t>
      </w:r>
    </w:p>
    <w:p>
      <w:pPr>
        <w:pStyle w:val="style179"/>
        <w:numPr>
          <w:ilvl w:val="0"/>
          <w:numId w:val="15"/>
        </w:numPr>
        <w:tabs>
          <w:tab w:val="clear" w:pos="720"/>
        </w:tabs>
        <w:spacing w:after="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La educación para la salud, el género y la sexualidad.</w:t>
      </w:r>
    </w:p>
    <w:p>
      <w:pPr>
        <w:pStyle w:val="style0"/>
        <w:spacing w:after="0" w:lineRule="auto" w:line="240"/>
        <w:ind w:left="0" w:firstLine="0"/>
        <w:rPr/>
      </w:pPr>
      <w:r>
        <w:t>3</w:t>
      </w:r>
      <w:r>
        <w:t>er Simposio:</w:t>
      </w:r>
      <w:r>
        <w:t xml:space="preserve"> </w:t>
      </w:r>
      <w:r>
        <w:t>La gestión de la calidad de los procesos y programas universitarios para la formación de los profesionales de la educación.</w:t>
      </w:r>
    </w:p>
    <w:p>
      <w:pPr>
        <w:pStyle w:val="style179"/>
        <w:spacing w:after="0" w:lineRule="auto" w:line="240"/>
        <w:ind w:left="709" w:hanging="709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cs="Calibri"/>
          <w:b/>
          <w:bCs/>
          <w:sz w:val="24"/>
          <w:szCs w:val="24"/>
          <w:lang w:val="es-CO"/>
        </w:rPr>
        <w:t>Coordinador:</w:t>
      </w:r>
      <w:r>
        <w:rPr>
          <w:rFonts w:cs="Calibri"/>
          <w:sz w:val="24"/>
          <w:szCs w:val="24"/>
          <w:lang w:val="es-CO"/>
        </w:rPr>
        <w:t xml:space="preserve"> </w:t>
      </w:r>
      <w:r>
        <w:rPr>
          <w:rFonts w:ascii="Arial" w:cs="Arial" w:eastAsia="Arial" w:hAnsi="Arial"/>
          <w:color w:val="000000"/>
          <w:lang w:val="es-ES" w:eastAsia="es-ES"/>
        </w:rPr>
        <w:t xml:space="preserve">Dr. C. </w:t>
      </w:r>
      <w:r>
        <w:rPr>
          <w:rFonts w:ascii="Arial" w:cs="Arial" w:eastAsia="Arial" w:hAnsi="Arial"/>
          <w:color w:val="000000"/>
          <w:lang w:val="es-ES" w:eastAsia="es-ES"/>
        </w:rPr>
        <w:t>Raúl Enrique Fernández</w:t>
      </w:r>
    </w:p>
    <w:p>
      <w:pPr>
        <w:pStyle w:val="style179"/>
        <w:spacing w:after="0" w:lineRule="auto" w:line="240"/>
        <w:ind w:left="709" w:hanging="709"/>
        <w:jc w:val="both"/>
        <w:rPr>
          <w:rFonts w:cs="Calibri"/>
          <w:bCs/>
          <w:sz w:val="24"/>
          <w:szCs w:val="24"/>
          <w:lang w:val="es-ES"/>
        </w:rPr>
      </w:pPr>
      <w:r>
        <w:rPr>
          <w:rFonts w:ascii="Arial" w:cs="Arial" w:eastAsia="Arial" w:hAnsi="Arial"/>
          <w:color w:val="000000"/>
          <w:lang w:val="es-ES" w:eastAsia="es-ES"/>
        </w:rPr>
        <w:t>Canals</w:t>
      </w:r>
    </w:p>
    <w:p>
      <w:pPr>
        <w:pStyle w:val="style179"/>
        <w:numPr>
          <w:ilvl w:val="0"/>
          <w:numId w:val="14"/>
        </w:numPr>
        <w:spacing w:after="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La superación profesional y el posgrado en el desarrollo de los recursos humanos.</w:t>
      </w:r>
    </w:p>
    <w:p>
      <w:pPr>
        <w:pStyle w:val="style179"/>
        <w:numPr>
          <w:ilvl w:val="0"/>
          <w:numId w:val="14"/>
        </w:numPr>
        <w:spacing w:after="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 xml:space="preserve">La internacionalización de la educación superior. Diversidad cultural y </w:t>
      </w:r>
      <w:r>
        <w:rPr>
          <w:rFonts w:ascii="Arial" w:cs="Arial" w:eastAsia="Arial" w:hAnsi="Arial"/>
          <w:color w:val="000000"/>
          <w:lang w:val="es-ES" w:eastAsia="es-ES"/>
        </w:rPr>
        <w:t>racialidad</w:t>
      </w:r>
      <w:r>
        <w:rPr>
          <w:rFonts w:ascii="Arial" w:cs="Arial" w:eastAsia="Arial" w:hAnsi="Arial"/>
          <w:color w:val="000000"/>
          <w:lang w:val="es-ES" w:eastAsia="es-ES"/>
        </w:rPr>
        <w:t>.</w:t>
      </w:r>
    </w:p>
    <w:p>
      <w:pPr>
        <w:pStyle w:val="style179"/>
        <w:numPr>
          <w:ilvl w:val="0"/>
          <w:numId w:val="14"/>
        </w:numPr>
        <w:spacing w:before="120" w:after="120" w:lineRule="auto" w:line="240"/>
        <w:ind w:left="142" w:hanging="153"/>
        <w:jc w:val="both"/>
        <w:rPr>
          <w:rFonts w:ascii="Arial" w:cs="Arial" w:eastAsia="Arial" w:hAnsi="Arial"/>
          <w:color w:val="000000"/>
          <w:lang w:val="es-ES" w:eastAsia="es-ES"/>
        </w:rPr>
      </w:pPr>
      <w:r>
        <w:rPr>
          <w:rFonts w:ascii="Arial" w:cs="Arial" w:eastAsia="Arial" w:hAnsi="Arial"/>
          <w:color w:val="000000"/>
          <w:lang w:val="es-ES" w:eastAsia="es-ES"/>
        </w:rPr>
        <w:t>La gestión de la calidad en la dirección de las instituciones educativas.</w:t>
      </w:r>
    </w:p>
    <w:p>
      <w:pPr>
        <w:pStyle w:val="style0"/>
        <w:spacing w:before="120" w:after="120" w:lineRule="auto" w:line="259"/>
        <w:ind w:left="-5" w:right="0"/>
        <w:jc w:val="left"/>
        <w:rPr/>
      </w:pPr>
      <w:r>
        <w:rPr>
          <w:b/>
        </w:rPr>
        <w:t xml:space="preserve">Requisitos para la presentación de trabajos: </w:t>
      </w:r>
    </w:p>
    <w:p>
      <w:pPr>
        <w:pStyle w:val="style0"/>
        <w:spacing w:before="120" w:after="120"/>
        <w:ind w:left="-5" w:right="0"/>
        <w:rPr/>
      </w:pPr>
      <w:r>
        <w:t xml:space="preserve">Los trabajos deben entregarse en formato PDF, escritos en tipografía Arial 12, a tamaño carta (8 ½ x 11 o 21.59 cm. x 27.94 cm.) y márgenes de 2.5 cm. por cada lado. La alineación de los párrafos es justificada y la extensión máxima de los trabajos es de </w:t>
      </w:r>
      <w:r>
        <w:t>15</w:t>
      </w:r>
      <w:r>
        <w:t xml:space="preserve"> cuartillas (incluidos los anexos). </w:t>
      </w:r>
    </w:p>
    <w:p>
      <w:pPr>
        <w:pStyle w:val="style0"/>
        <w:spacing w:after="136" w:lineRule="auto" w:line="259"/>
        <w:ind w:left="-5" w:right="0"/>
        <w:jc w:val="left"/>
        <w:rPr/>
      </w:pPr>
      <w:r>
        <w:rPr>
          <w:b/>
        </w:rPr>
        <w:t xml:space="preserve">Formato: </w:t>
      </w:r>
    </w:p>
    <w:p>
      <w:pPr>
        <w:pStyle w:val="style0"/>
        <w:numPr>
          <w:ilvl w:val="0"/>
          <w:numId w:val="3"/>
        </w:numPr>
        <w:spacing w:after="146"/>
        <w:ind w:right="0" w:hanging="283"/>
        <w:rPr/>
      </w:pPr>
      <w:r>
        <w:rPr>
          <w:b/>
        </w:rPr>
        <w:t>Título</w:t>
      </w:r>
      <w:r>
        <w:t xml:space="preserve"> (en mayúscula y no más de 15 palabras).  </w:t>
      </w:r>
    </w:p>
    <w:p>
      <w:pPr>
        <w:pStyle w:val="style0"/>
        <w:numPr>
          <w:ilvl w:val="0"/>
          <w:numId w:val="3"/>
        </w:numPr>
        <w:spacing w:after="151"/>
        <w:ind w:right="0" w:hanging="283"/>
        <w:rPr/>
      </w:pPr>
      <w:r>
        <w:rPr>
          <w:b/>
        </w:rPr>
        <w:t>Autor y coautores</w:t>
      </w:r>
      <w:r>
        <w:t xml:space="preserve"> (no más de tres), con sus correos electrónicos. Grado académico y/o categoría científica. </w:t>
      </w:r>
      <w:r>
        <w:t>Código ORCID.</w:t>
      </w:r>
    </w:p>
    <w:p>
      <w:pPr>
        <w:pStyle w:val="style0"/>
        <w:numPr>
          <w:ilvl w:val="0"/>
          <w:numId w:val="3"/>
        </w:numPr>
        <w:spacing w:after="148"/>
        <w:ind w:right="0" w:hanging="283"/>
        <w:rPr/>
      </w:pPr>
      <w:r>
        <w:rPr>
          <w:b/>
        </w:rPr>
        <w:t>Institución y país por autores y coautores</w:t>
      </w:r>
      <w:r>
        <w:t xml:space="preserve"> (si tiene cargos en la institución lo debe aclarar, por ejemplo, si es jefe de Departamento, Director, Decano, Vicerrector o Rector)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/>
      </w:pPr>
      <w:r>
        <w:rPr>
          <w:b/>
        </w:rPr>
        <w:t xml:space="preserve">Modalidad de presentación: </w:t>
      </w:r>
      <w:r>
        <w:t>(Presencial o virtual)</w:t>
      </w:r>
      <w:r>
        <w:t xml:space="preserve">. 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/>
      </w:pPr>
      <w:r>
        <w:rPr>
          <w:b/>
        </w:rPr>
        <w:t xml:space="preserve">Categoría de participación: </w:t>
      </w:r>
      <w:r>
        <w:t>(Profeso</w:t>
      </w:r>
      <w:r>
        <w:t>r</w:t>
      </w:r>
      <w:r>
        <w:t xml:space="preserve"> o estudiante)</w:t>
      </w:r>
      <w:r>
        <w:t>.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/>
      </w:pPr>
      <w:r>
        <w:rPr>
          <w:b/>
        </w:rPr>
        <w:t>Resumen del trabajo</w:t>
      </w:r>
      <w:r>
        <w:t xml:space="preserve"> (extensión máxima de 250 palabras).</w:t>
      </w:r>
      <w:r>
        <w:t xml:space="preserve"> D</w:t>
      </w:r>
      <w:r>
        <w:t xml:space="preserve">ebe contener las </w:t>
      </w:r>
      <w:r>
        <w:rPr>
          <w:b/>
        </w:rPr>
        <w:t xml:space="preserve">palabras claves </w:t>
      </w:r>
      <w:r>
        <w:t>(</w:t>
      </w:r>
      <w:r>
        <w:t>c</w:t>
      </w:r>
      <w:r>
        <w:t>inco)</w:t>
      </w:r>
      <w:r>
        <w:rPr>
          <w:b/>
        </w:rPr>
        <w:t xml:space="preserve"> </w:t>
      </w:r>
      <w:r>
        <w:t>y no estarán incluidas en el título</w:t>
      </w:r>
      <w:r>
        <w:t>.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/>
      </w:pPr>
      <w:r>
        <w:t>Apego total a la norma APA 7 de asentamiento bibliográfico y citación.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>
          <w:sz w:val="20"/>
        </w:rPr>
      </w:pPr>
      <w:r>
        <w:rPr>
          <w:rFonts w:cs="Calibri"/>
          <w:szCs w:val="24"/>
        </w:rPr>
        <w:t xml:space="preserve">Correspondencia absoluta entre las citaciones del cuerpo del artículo y las referencias bibliográficas asentadas y viceversa, incluso en las fechas, tildes y otros caracteres. 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>
          <w:sz w:val="20"/>
        </w:rPr>
      </w:pPr>
      <w:r>
        <w:rPr>
          <w:rFonts w:cs="Calibri"/>
          <w:szCs w:val="24"/>
        </w:rPr>
        <w:t>En el caso de que coincidan citas de un mismo autor y año con títulos diferentes, deben ser ordenados por aparición y referenciados diferenciándolos con orden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Cs w:val="24"/>
        </w:rPr>
        <w:t xml:space="preserve">alfabético. Ejemplo: </w:t>
      </w:r>
      <w:r>
        <w:rPr>
          <w:rFonts w:cs="Calibri"/>
          <w:szCs w:val="24"/>
        </w:rPr>
        <w:t>Abello</w:t>
      </w:r>
      <w:r>
        <w:rPr>
          <w:rFonts w:cs="Calibri"/>
          <w:szCs w:val="24"/>
        </w:rPr>
        <w:t xml:space="preserve">, 2003a, </w:t>
      </w:r>
      <w:r>
        <w:rPr>
          <w:rFonts w:cs="Calibri"/>
          <w:szCs w:val="24"/>
        </w:rPr>
        <w:t>Abello</w:t>
      </w:r>
      <w:r>
        <w:rPr>
          <w:rFonts w:cs="Calibri"/>
          <w:szCs w:val="24"/>
        </w:rPr>
        <w:t xml:space="preserve">, 2003b.   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>
          <w:sz w:val="20"/>
        </w:rPr>
      </w:pPr>
      <w:r>
        <w:rPr>
          <w:rFonts w:cs="Calibri"/>
          <w:szCs w:val="24"/>
        </w:rPr>
        <w:t xml:space="preserve">Enfatizar el uso de referencias que posibiliten su recuperación y consulta posterior, de preferencia artículos de revistas en línea o no y libros publicados, en menor grado las tesis (solo en repositorios online), no conferencias, ponencias en eventos, congresos y otros no recuperables. 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>
          <w:sz w:val="20"/>
        </w:rPr>
      </w:pPr>
      <w:r>
        <w:rPr>
          <w:rFonts w:cs="Calibri"/>
          <w:szCs w:val="24"/>
        </w:rPr>
        <w:t xml:space="preserve">Posibilitar la verificación de la confiabilidad de las citas y referencias impresas y las en línea (estas últimas con la dirección </w:t>
      </w:r>
      <w:r>
        <w:rPr>
          <w:rFonts w:cs="Calibri"/>
          <w:szCs w:val="24"/>
        </w:rPr>
        <w:t>url</w:t>
      </w:r>
      <w:r>
        <w:rPr>
          <w:rFonts w:cs="Calibri"/>
          <w:szCs w:val="24"/>
        </w:rPr>
        <w:t xml:space="preserve"> o </w:t>
      </w:r>
      <w:r>
        <w:rPr>
          <w:rFonts w:cs="Calibri"/>
          <w:szCs w:val="24"/>
        </w:rPr>
        <w:t>doi</w:t>
      </w:r>
      <w:r>
        <w:rPr>
          <w:rFonts w:cs="Calibri"/>
          <w:szCs w:val="24"/>
        </w:rPr>
        <w:t xml:space="preserve"> correctamente asentado).</w:t>
      </w:r>
    </w:p>
    <w:p>
      <w:pPr>
        <w:pStyle w:val="style0"/>
        <w:numPr>
          <w:ilvl w:val="0"/>
          <w:numId w:val="3"/>
        </w:numPr>
        <w:spacing w:after="110"/>
        <w:ind w:right="0" w:hanging="283"/>
        <w:rPr>
          <w:sz w:val="20"/>
        </w:rPr>
      </w:pPr>
      <w:r>
        <w:rPr>
          <w:rFonts w:cs="Calibri"/>
          <w:szCs w:val="24"/>
        </w:rPr>
        <w:t>Nivel de actualización de las referencias bibliográficas con la v</w:t>
      </w:r>
      <w:r>
        <w:rPr>
          <w:rFonts w:cs="Calibri"/>
          <w:szCs w:val="24"/>
        </w:rPr>
        <w:t>er</w:t>
      </w:r>
      <w:r>
        <w:rPr>
          <w:rFonts w:cs="Calibri"/>
          <w:szCs w:val="24"/>
        </w:rPr>
        <w:t xml:space="preserve">sión más reciente y autorizada en el tema (últimos 5 años, entre 70-75%) </w:t>
      </w:r>
    </w:p>
    <w:p>
      <w:pPr>
        <w:pStyle w:val="style0"/>
        <w:numPr>
          <w:ilvl w:val="0"/>
          <w:numId w:val="3"/>
        </w:numPr>
        <w:spacing w:after="0"/>
        <w:ind w:right="0" w:hanging="283"/>
        <w:rPr>
          <w:sz w:val="20"/>
        </w:rPr>
      </w:pPr>
      <w:r>
        <w:rPr>
          <w:rFonts w:cs="Calibri"/>
          <w:szCs w:val="24"/>
        </w:rPr>
        <w:t>Revisar el número de referencias: no menos de diez y no más de 20.</w:t>
      </w:r>
    </w:p>
    <w:p>
      <w:pPr>
        <w:pStyle w:val="style0"/>
        <w:spacing w:after="0" w:lineRule="auto" w:line="259"/>
        <w:ind w:left="-5" w:right="0"/>
        <w:jc w:val="left"/>
        <w:rPr/>
      </w:pPr>
      <w:r>
        <w:rPr>
          <w:b/>
        </w:rPr>
        <w:t xml:space="preserve">Envío </w:t>
      </w:r>
      <w:r>
        <w:rPr>
          <w:b/>
        </w:rPr>
        <w:t>de trabajos</w:t>
      </w:r>
      <w:r>
        <w:t xml:space="preserve">:  </w:t>
      </w:r>
    </w:p>
    <w:p>
      <w:pPr>
        <w:pStyle w:val="style0"/>
        <w:spacing w:after="0"/>
        <w:ind w:left="-5" w:right="0"/>
        <w:jc w:val="left"/>
        <w:rPr>
          <w:rFonts w:cs="Calibri"/>
          <w:szCs w:val="24"/>
        </w:rPr>
      </w:pPr>
      <w:r>
        <w:rPr>
          <w:rFonts w:cs="Calibri"/>
          <w:szCs w:val="24"/>
        </w:rPr>
        <w:t xml:space="preserve">Se realizará a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 xml:space="preserve">través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>de</w:t>
      </w:r>
      <w:r>
        <w:rPr>
          <w:rFonts w:cs="Calibri"/>
          <w:szCs w:val="24"/>
        </w:rPr>
        <w:t>:</w:t>
      </w:r>
    </w:p>
    <w:p>
      <w:pPr>
        <w:pStyle w:val="style0"/>
        <w:spacing w:after="0" w:lineRule="auto" w:line="240"/>
        <w:ind w:left="-6" w:right="0" w:hanging="11"/>
        <w:jc w:val="left"/>
        <w:rPr>
          <w:rFonts w:cs="Calibri"/>
          <w:szCs w:val="24"/>
        </w:rPr>
      </w:pPr>
      <w:r>
        <w:rPr>
          <w:rFonts w:cs="Calibri"/>
          <w:szCs w:val="24"/>
        </w:rPr>
        <w:t>Simposio</w:t>
      </w:r>
      <w:r>
        <w:rPr>
          <w:rFonts w:cs="Calibri"/>
          <w:szCs w:val="24"/>
        </w:rPr>
        <w:t xml:space="preserve"> 1: </w:t>
      </w:r>
      <w:r>
        <w:rPr/>
        <w:fldChar w:fldCharType="begin"/>
      </w:r>
      <w:r>
        <w:instrText xml:space="preserve"> HYPERLINK "mailto:dianelisa24@gmail.com" </w:instrText>
      </w:r>
      <w:r>
        <w:rPr/>
        <w:fldChar w:fldCharType="separate"/>
      </w:r>
      <w:r>
        <w:rPr>
          <w:rStyle w:val="style85"/>
          <w:rFonts w:cs="Calibri"/>
          <w:szCs w:val="24"/>
        </w:rPr>
        <w:t>dianelisa</w:t>
      </w:r>
      <w:r>
        <w:rPr>
          <w:rStyle w:val="style85"/>
          <w:rFonts w:cs="Calibri"/>
          <w:szCs w:val="24"/>
        </w:rPr>
        <w:t>b</w:t>
      </w:r>
      <w:r>
        <w:rPr>
          <w:rStyle w:val="style85"/>
          <w:rFonts w:cs="Calibri"/>
          <w:szCs w:val="24"/>
        </w:rPr>
        <w:t>24@gmail.com</w:t>
      </w:r>
      <w:r>
        <w:rPr/>
        <w:fldChar w:fldCharType="end"/>
      </w:r>
      <w:r>
        <w:rPr>
          <w:rFonts w:cs="Calibri"/>
          <w:szCs w:val="24"/>
        </w:rPr>
        <w:t xml:space="preserve"> </w:t>
      </w:r>
    </w:p>
    <w:p>
      <w:pPr>
        <w:pStyle w:val="style0"/>
        <w:spacing w:after="0" w:lineRule="auto" w:line="240"/>
        <w:ind w:left="-6" w:right="0" w:hanging="11"/>
        <w:jc w:val="left"/>
        <w:rPr>
          <w:rFonts w:cs="Calibri"/>
          <w:szCs w:val="24"/>
        </w:rPr>
      </w:pPr>
      <w:r>
        <w:rPr>
          <w:rFonts w:cs="Calibri"/>
          <w:szCs w:val="24"/>
        </w:rPr>
        <w:t xml:space="preserve">Simposio 2: </w:t>
      </w:r>
      <w:r>
        <w:rPr/>
        <w:fldChar w:fldCharType="begin"/>
      </w:r>
      <w:r>
        <w:instrText xml:space="preserve"> HYPERLINK "mailto:yanaycd@gmail.com" </w:instrText>
      </w:r>
      <w:r>
        <w:rPr/>
        <w:fldChar w:fldCharType="separate"/>
      </w:r>
      <w:r>
        <w:rPr>
          <w:rStyle w:val="style85"/>
          <w:rFonts w:cs="Calibri"/>
          <w:szCs w:val="24"/>
        </w:rPr>
        <w:t>yanaycd@gmail.com</w:t>
      </w:r>
      <w:r>
        <w:rPr/>
        <w:fldChar w:fldCharType="end"/>
      </w:r>
      <w:r>
        <w:rPr>
          <w:rFonts w:cs="Calibri"/>
          <w:szCs w:val="24"/>
        </w:rPr>
        <w:t xml:space="preserve"> </w:t>
      </w:r>
    </w:p>
    <w:p>
      <w:pPr>
        <w:pStyle w:val="style0"/>
        <w:spacing w:after="0" w:lineRule="auto" w:line="240"/>
        <w:ind w:left="-6" w:right="0" w:hanging="11"/>
        <w:jc w:val="left"/>
        <w:rPr>
          <w:rFonts w:cs="Calibri"/>
          <w:szCs w:val="24"/>
        </w:rPr>
      </w:pPr>
      <w:r>
        <w:rPr>
          <w:rFonts w:cs="Calibri"/>
          <w:szCs w:val="24"/>
        </w:rPr>
        <w:t xml:space="preserve">Simposio </w:t>
      </w:r>
      <w:r>
        <w:rPr>
          <w:rFonts w:cs="Calibri"/>
          <w:szCs w:val="24"/>
        </w:rPr>
        <w:t xml:space="preserve">3: </w:t>
      </w:r>
      <w:r>
        <w:rPr/>
        <w:fldChar w:fldCharType="begin"/>
      </w:r>
      <w:r>
        <w:instrText xml:space="preserve"> HYPERLINK "mailto:lisbetaragones@gmail.com" </w:instrText>
      </w:r>
      <w:r>
        <w:rPr/>
        <w:fldChar w:fldCharType="separate"/>
      </w:r>
      <w:r>
        <w:rPr>
          <w:rStyle w:val="style85"/>
          <w:rFonts w:cs="Calibri"/>
          <w:szCs w:val="24"/>
        </w:rPr>
        <w:t>lisbetaragones@gmail.com</w:t>
      </w:r>
      <w:r>
        <w:rPr/>
        <w:fldChar w:fldCharType="end"/>
      </w:r>
      <w:r>
        <w:rPr>
          <w:rFonts w:cs="Calibri"/>
          <w:szCs w:val="24"/>
        </w:rPr>
        <w:t xml:space="preserve">  </w:t>
      </w:r>
    </w:p>
    <w:p>
      <w:pPr>
        <w:pStyle w:val="style0"/>
        <w:spacing w:before="120" w:after="120"/>
        <w:ind w:left="0" w:firstLine="0"/>
        <w:rPr>
          <w:b/>
          <w:sz w:val="20"/>
        </w:rPr>
      </w:pPr>
      <w:r>
        <w:rPr>
          <w:b/>
        </w:rPr>
        <w:t>Otras formas de presentación</w:t>
      </w:r>
      <w:r>
        <w:rPr>
          <w:b/>
        </w:rPr>
        <w:t xml:space="preserve"> (on-line)</w:t>
      </w:r>
      <w:r>
        <w:rPr>
          <w:b/>
        </w:rPr>
        <w:t>:</w:t>
      </w:r>
    </w:p>
    <w:p>
      <w:pPr>
        <w:pStyle w:val="style179"/>
        <w:numPr>
          <w:ilvl w:val="0"/>
          <w:numId w:val="8"/>
        </w:numPr>
        <w:spacing w:before="120" w:after="120"/>
        <w:ind w:left="284"/>
        <w:jc w:val="both"/>
        <w:rPr>
          <w:sz w:val="20"/>
        </w:rPr>
      </w:pPr>
      <w:r>
        <w:rPr>
          <w:rFonts w:ascii="Arial" w:cs="Calibri" w:eastAsia="Arial" w:hAnsi="Arial"/>
          <w:color w:val="000000"/>
          <w:szCs w:val="24"/>
          <w:lang w:val="es-ES" w:eastAsia="es-ES"/>
        </w:rPr>
        <w:t>Póster en una hoja única, tamaño A4, en formato JPEG y no debe exceder los 2MB.</w:t>
      </w:r>
    </w:p>
    <w:p>
      <w:pPr>
        <w:pStyle w:val="style179"/>
        <w:numPr>
          <w:ilvl w:val="0"/>
          <w:numId w:val="8"/>
        </w:numPr>
        <w:spacing w:before="120" w:after="120"/>
        <w:ind w:left="284"/>
        <w:jc w:val="both"/>
        <w:rPr>
          <w:rFonts w:ascii="Arial" w:cs="Calibri" w:eastAsia="Arial" w:hAnsi="Arial"/>
          <w:color w:val="000000"/>
          <w:szCs w:val="24"/>
          <w:lang w:val="es-ES" w:eastAsia="es-ES"/>
        </w:rPr>
      </w:pPr>
      <w:r>
        <w:rPr>
          <w:rFonts w:ascii="Arial" w:cs="Calibri" w:eastAsia="Arial" w:hAnsi="Arial"/>
          <w:color w:val="000000"/>
          <w:szCs w:val="24"/>
          <w:lang w:val="es-ES" w:eastAsia="es-ES"/>
        </w:rPr>
        <w:t xml:space="preserve">Video corto en formato MP4, AVI (posición horizontal) con una duración máxima de 5 minutos, que no exceda de los 50MB. </w:t>
      </w:r>
    </w:p>
    <w:p>
      <w:pPr>
        <w:pStyle w:val="style0"/>
        <w:ind w:left="-5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En el nombre del archivo debe estar incluido el nombre del autor principal. </w:t>
      </w:r>
    </w:p>
    <w:p>
      <w:pPr>
        <w:pStyle w:val="style0"/>
        <w:spacing w:after="26"/>
        <w:ind w:left="-5"/>
        <w:rPr/>
      </w:pPr>
      <w:r>
        <w:t xml:space="preserve">Los </w:t>
      </w:r>
      <w:r>
        <w:rPr>
          <w:b/>
        </w:rPr>
        <w:t>C</w:t>
      </w:r>
      <w:r>
        <w:rPr>
          <w:b/>
        </w:rPr>
        <w:t>ursos evento</w:t>
      </w:r>
      <w:r>
        <w:rPr>
          <w:b/>
        </w:rPr>
        <w:t>:</w:t>
      </w:r>
      <w:r>
        <w:t xml:space="preserve"> se desarrollarán del 2 al 6 </w:t>
      </w:r>
      <w:r>
        <w:t xml:space="preserve">y del 12 al 20 </w:t>
      </w:r>
      <w:r>
        <w:t>de junio de</w:t>
      </w:r>
      <w:r>
        <w:t>l</w:t>
      </w:r>
      <w:r>
        <w:t xml:space="preserve"> 2025 </w:t>
      </w:r>
      <w:r>
        <w:t xml:space="preserve">en </w:t>
      </w:r>
      <w:r>
        <w:t>m</w:t>
      </w:r>
      <w:r>
        <w:t xml:space="preserve">odalidad </w:t>
      </w:r>
      <w:r>
        <w:t>V</w:t>
      </w:r>
      <w:r>
        <w:t>irtual.</w:t>
      </w:r>
    </w:p>
    <w:p>
      <w:pPr>
        <w:pStyle w:val="style0"/>
        <w:spacing w:after="26"/>
        <w:ind w:left="-5" w:right="0"/>
        <w:rPr/>
      </w:pPr>
      <w:r>
        <w:t>Se ofrecerán para los delgad</w:t>
      </w:r>
      <w:r>
        <w:t>o</w:t>
      </w:r>
      <w:r>
        <w:t>s</w:t>
      </w:r>
      <w:r>
        <w:t>,</w:t>
      </w:r>
      <w:r>
        <w:t xml:space="preserve"> conferencias virtuales</w:t>
      </w:r>
      <w:r>
        <w:t xml:space="preserve"> de manera gratuita relacionadas con las temáticas abordadas en el evento. </w:t>
      </w:r>
    </w:p>
    <w:p>
      <w:pPr>
        <w:pStyle w:val="style0"/>
        <w:spacing w:after="3" w:lineRule="auto" w:line="259"/>
        <w:ind w:left="-5" w:right="0"/>
        <w:jc w:val="left"/>
        <w:rPr/>
      </w:pPr>
      <w:r>
        <w:rPr>
          <w:b/>
        </w:rPr>
        <w:t xml:space="preserve">FECHAS IMPORTANTES </w:t>
      </w:r>
    </w:p>
    <w:p>
      <w:pPr>
        <w:pStyle w:val="style0"/>
        <w:ind w:left="-5" w:right="0"/>
        <w:rPr/>
      </w:pPr>
      <w:r>
        <w:t xml:space="preserve">Recepción </w:t>
      </w:r>
      <w:r>
        <w:t xml:space="preserve">de trabajos: hasta 16 de mayo de 2025 </w:t>
      </w:r>
    </w:p>
    <w:p>
      <w:pPr>
        <w:pStyle w:val="style0"/>
        <w:ind w:left="-5" w:right="0"/>
        <w:rPr/>
      </w:pPr>
      <w:r>
        <w:t>Recepción</w:t>
      </w:r>
      <w:r>
        <w:t xml:space="preserve"> de Videos o Póster Modalidad </w:t>
      </w:r>
      <w:r>
        <w:t>o</w:t>
      </w:r>
      <w:r>
        <w:t>n-line: hasta 16 de mayo de 2025</w:t>
      </w:r>
    </w:p>
    <w:p>
      <w:pPr>
        <w:pStyle w:val="style0"/>
        <w:ind w:left="-5" w:right="0"/>
        <w:rPr/>
      </w:pPr>
      <w:r>
        <w:t xml:space="preserve">Solicitud de participación en cursos eventos y conferencias: </w:t>
      </w:r>
      <w:r>
        <w:t xml:space="preserve">16 de </w:t>
      </w:r>
      <w:r>
        <w:t xml:space="preserve">mayo 2023 </w:t>
      </w:r>
    </w:p>
    <w:bookmarkStart w:id="0" w:name="_GoBack"/>
    <w:bookmarkEnd w:id="0"/>
    <w:p>
      <w:pPr>
        <w:pStyle w:val="style0"/>
        <w:ind w:left="0" w:firstLine="0"/>
        <w:rPr/>
        <w:sectPr>
          <w:type w:val="continuous"/>
          <w:pgSz w:w="12240" w:h="15840" w:orient="portrait"/>
          <w:pgMar w:top="1440" w:right="1183" w:bottom="1440" w:left="1134" w:header="720" w:footer="720" w:gutter="0"/>
          <w:cols w:space="567" w:num="2"/>
        </w:sectPr>
      </w:pPr>
    </w:p>
    <w:p>
      <w:pPr>
        <w:pStyle w:val="style0"/>
        <w:spacing w:after="3" w:lineRule="auto" w:line="259"/>
        <w:ind w:left="-5" w:right="0"/>
        <w:jc w:val="left"/>
        <w:rPr/>
      </w:pPr>
      <w:r>
        <w:rPr>
          <w:b/>
        </w:rPr>
        <w:t xml:space="preserve">Cuotas de inscripción a la </w:t>
      </w:r>
      <w:r>
        <w:rPr>
          <w:b/>
        </w:rPr>
        <w:t>IV</w:t>
      </w:r>
      <w:r>
        <w:rPr>
          <w:b/>
        </w:rPr>
        <w:t xml:space="preserve"> Convención</w:t>
      </w:r>
      <w:r>
        <w:rPr>
          <w:b/>
        </w:rPr>
        <w:t xml:space="preserve"> </w:t>
      </w:r>
      <w:r>
        <w:rPr>
          <w:b/>
        </w:rPr>
        <w:t>Internacional Varona 202</w:t>
      </w:r>
      <w:r>
        <w:rPr>
          <w:b/>
        </w:rPr>
        <w:t>5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jc w:val="left"/>
        <w:rPr/>
      </w:pPr>
      <w:r>
        <w:rPr>
          <w:b/>
        </w:rPr>
        <w:t xml:space="preserve"> </w:t>
      </w:r>
    </w:p>
    <w:bookmarkStart w:id="1" w:name="_Hlk188719429"/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2"/>
        <w:gridCol w:w="1216"/>
        <w:gridCol w:w="961"/>
        <w:gridCol w:w="1243"/>
        <w:gridCol w:w="912"/>
      </w:tblGrid>
      <w:tr>
        <w:trPr/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Extranjeros (USD)</w:t>
            </w:r>
          </w:p>
        </w:tc>
        <w:tc>
          <w:tcPr>
            <w:tcW w:w="2159" w:type="dxa"/>
            <w:gridSpan w:val="2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Pagos hasta el 30 de abril de 2025</w:t>
            </w:r>
          </w:p>
        </w:tc>
        <w:tc>
          <w:tcPr>
            <w:tcW w:w="2137" w:type="dxa"/>
            <w:gridSpan w:val="2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Pagos del 30 de abril hasta el 30 de mayo de 2025</w:t>
            </w:r>
          </w:p>
        </w:tc>
      </w:tr>
      <w:tr>
        <w:tblPrEx/>
        <w:trPr/>
        <w:tc>
          <w:tcPr>
            <w:tcW w:w="2122" w:type="dxa"/>
            <w:vMerge w:val="restart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Categoría de participación</w:t>
            </w:r>
          </w:p>
        </w:tc>
        <w:tc>
          <w:tcPr>
            <w:tcW w:w="4296" w:type="dxa"/>
            <w:gridSpan w:val="4"/>
            <w:tcBorders/>
          </w:tcPr>
          <w:p>
            <w:pPr>
              <w:pStyle w:val="style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Modalidad de participación</w:t>
            </w:r>
          </w:p>
        </w:tc>
      </w:tr>
      <w:tr>
        <w:tblPrEx/>
        <w:trPr>
          <w:wAfter w:w="16" w:type="dxa"/>
        </w:trPr>
        <w:tc>
          <w:tcPr>
            <w:tcW w:w="2122" w:type="dxa"/>
            <w:vMerge w:val="continue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</w:p>
        </w:tc>
        <w:tc>
          <w:tcPr>
            <w:tcW w:w="1198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Presencial</w:t>
            </w:r>
          </w:p>
        </w:tc>
        <w:tc>
          <w:tcPr>
            <w:tcW w:w="961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Virtual</w:t>
            </w:r>
          </w:p>
        </w:tc>
        <w:tc>
          <w:tcPr>
            <w:tcW w:w="1243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Presencial</w:t>
            </w:r>
          </w:p>
        </w:tc>
        <w:tc>
          <w:tcPr>
            <w:tcW w:w="878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Virtual</w:t>
            </w:r>
          </w:p>
        </w:tc>
      </w:tr>
      <w:tr>
        <w:tblPrEx/>
        <w:trPr>
          <w:wAfter w:w="16" w:type="dxa"/>
        </w:trPr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Delegado profesional ponente</w:t>
            </w:r>
          </w:p>
        </w:tc>
        <w:tc>
          <w:tcPr>
            <w:tcW w:w="119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200.00</w:t>
            </w:r>
          </w:p>
        </w:tc>
        <w:tc>
          <w:tcPr>
            <w:tcW w:w="961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100.00</w:t>
            </w:r>
          </w:p>
        </w:tc>
        <w:tc>
          <w:tcPr>
            <w:tcW w:w="1243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250.00</w:t>
            </w:r>
          </w:p>
        </w:tc>
        <w:tc>
          <w:tcPr>
            <w:tcW w:w="87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125.00</w:t>
            </w:r>
          </w:p>
        </w:tc>
      </w:tr>
      <w:tr>
        <w:tblPrEx/>
        <w:trPr>
          <w:wAfter w:w="16" w:type="dxa"/>
        </w:trPr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Delegado estudiante</w:t>
            </w:r>
            <w:r>
              <w:rPr>
                <w:rFonts w:cs="Calibri"/>
                <w:sz w:val="20"/>
                <w:szCs w:val="24"/>
              </w:rPr>
              <w:t xml:space="preserve"> de pregrado</w:t>
            </w:r>
            <w:r>
              <w:rPr>
                <w:rFonts w:cs="Calibri"/>
                <w:sz w:val="20"/>
                <w:szCs w:val="24"/>
              </w:rPr>
              <w:t xml:space="preserve"> ponente</w:t>
            </w:r>
          </w:p>
        </w:tc>
        <w:tc>
          <w:tcPr>
            <w:tcW w:w="119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150.00</w:t>
            </w:r>
          </w:p>
        </w:tc>
        <w:tc>
          <w:tcPr>
            <w:tcW w:w="961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75.00</w:t>
            </w:r>
          </w:p>
        </w:tc>
        <w:tc>
          <w:tcPr>
            <w:tcW w:w="1243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200.00</w:t>
            </w:r>
          </w:p>
        </w:tc>
        <w:tc>
          <w:tcPr>
            <w:tcW w:w="87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100.00</w:t>
            </w:r>
          </w:p>
        </w:tc>
      </w:tr>
      <w:tr>
        <w:tblPrEx/>
        <w:trPr>
          <w:wAfter w:w="16" w:type="dxa"/>
        </w:trPr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Participante</w:t>
            </w:r>
          </w:p>
        </w:tc>
        <w:tc>
          <w:tcPr>
            <w:tcW w:w="119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175.00</w:t>
            </w:r>
          </w:p>
        </w:tc>
        <w:tc>
          <w:tcPr>
            <w:tcW w:w="961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1243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200.00</w:t>
            </w:r>
          </w:p>
        </w:tc>
        <w:tc>
          <w:tcPr>
            <w:tcW w:w="87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</w:tr>
      <w:tr>
        <w:tblPrEx/>
        <w:trPr>
          <w:wAfter w:w="16" w:type="dxa"/>
        </w:trPr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Curso evento</w:t>
            </w:r>
          </w:p>
        </w:tc>
        <w:tc>
          <w:tcPr>
            <w:tcW w:w="119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961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30.00</w:t>
            </w:r>
          </w:p>
        </w:tc>
        <w:tc>
          <w:tcPr>
            <w:tcW w:w="1243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87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</w:tr>
      <w:bookmarkEnd w:id="1"/>
    </w:tbl>
    <w:p>
      <w:pPr>
        <w:pStyle w:val="style0"/>
        <w:spacing w:after="0" w:lineRule="auto" w:line="259"/>
        <w:ind w:left="0" w:right="0" w:firstLine="0"/>
        <w:jc w:val="left"/>
        <w:rPr/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198"/>
        <w:gridCol w:w="1070"/>
        <w:gridCol w:w="1276"/>
        <w:gridCol w:w="1133"/>
      </w:tblGrid>
      <w:tr>
        <w:trPr/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Nacionales (CUP)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Pagos hasta el 30 de abril de 2025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Pagos del 30 de abril hasta el 30 de mayo de 2025</w:t>
            </w:r>
          </w:p>
        </w:tc>
      </w:tr>
      <w:tr>
        <w:tblPrEx/>
        <w:trPr/>
        <w:tc>
          <w:tcPr>
            <w:tcW w:w="2122" w:type="dxa"/>
            <w:vMerge w:val="restart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Categoría de participación</w:t>
            </w:r>
          </w:p>
        </w:tc>
        <w:tc>
          <w:tcPr>
            <w:tcW w:w="4677" w:type="dxa"/>
            <w:gridSpan w:val="4"/>
            <w:tcBorders/>
          </w:tcPr>
          <w:p>
            <w:pPr>
              <w:pStyle w:val="style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Modalidad de participación</w:t>
            </w:r>
          </w:p>
        </w:tc>
      </w:tr>
      <w:tr>
        <w:tblPrEx/>
        <w:trPr/>
        <w:tc>
          <w:tcPr>
            <w:tcW w:w="2122" w:type="dxa"/>
            <w:vMerge w:val="continue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</w:p>
        </w:tc>
        <w:tc>
          <w:tcPr>
            <w:tcW w:w="1198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Presencial</w:t>
            </w:r>
          </w:p>
        </w:tc>
        <w:tc>
          <w:tcPr>
            <w:tcW w:w="1070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Virtual</w:t>
            </w:r>
          </w:p>
        </w:tc>
        <w:tc>
          <w:tcPr>
            <w:tcW w:w="1276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Presencial</w:t>
            </w: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Virtual</w:t>
            </w:r>
          </w:p>
        </w:tc>
      </w:tr>
      <w:tr>
        <w:tblPrEx/>
        <w:trPr/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Delegado profesional ponente</w:t>
            </w:r>
          </w:p>
        </w:tc>
        <w:tc>
          <w:tcPr>
            <w:tcW w:w="119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7 000.00</w:t>
            </w:r>
          </w:p>
        </w:tc>
        <w:tc>
          <w:tcPr>
            <w:tcW w:w="1070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1 000.00</w:t>
            </w:r>
          </w:p>
        </w:tc>
        <w:tc>
          <w:tcPr>
            <w:tcW w:w="1276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8 000.00</w:t>
            </w:r>
          </w:p>
        </w:tc>
        <w:tc>
          <w:tcPr>
            <w:tcW w:w="1133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1 500.00</w:t>
            </w:r>
          </w:p>
        </w:tc>
      </w:tr>
      <w:tr>
        <w:tblPrEx/>
        <w:trPr/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 xml:space="preserve">Delegado estudiante </w:t>
            </w:r>
            <w:r>
              <w:rPr>
                <w:rFonts w:cs="Calibri"/>
                <w:sz w:val="20"/>
                <w:szCs w:val="24"/>
              </w:rPr>
              <w:t xml:space="preserve">de pregrado </w:t>
            </w:r>
            <w:r>
              <w:rPr>
                <w:rFonts w:cs="Calibri"/>
                <w:sz w:val="20"/>
                <w:szCs w:val="24"/>
              </w:rPr>
              <w:t>ponente</w:t>
            </w:r>
          </w:p>
        </w:tc>
        <w:tc>
          <w:tcPr>
            <w:tcW w:w="119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3 000.00</w:t>
            </w:r>
          </w:p>
        </w:tc>
        <w:tc>
          <w:tcPr>
            <w:tcW w:w="1070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500.00</w:t>
            </w:r>
          </w:p>
        </w:tc>
        <w:tc>
          <w:tcPr>
            <w:tcW w:w="1276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4 000.00</w:t>
            </w:r>
          </w:p>
        </w:tc>
        <w:tc>
          <w:tcPr>
            <w:tcW w:w="1133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800.00</w:t>
            </w:r>
          </w:p>
        </w:tc>
      </w:tr>
      <w:tr>
        <w:tblPrEx/>
        <w:trPr/>
        <w:tc>
          <w:tcPr>
            <w:tcW w:w="2122" w:type="dxa"/>
            <w:tcBorders/>
          </w:tcPr>
          <w:p>
            <w:pPr>
              <w:pStyle w:val="style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Curso evento</w:t>
            </w:r>
          </w:p>
        </w:tc>
        <w:tc>
          <w:tcPr>
            <w:tcW w:w="1198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200.00</w:t>
            </w:r>
          </w:p>
        </w:tc>
        <w:tc>
          <w:tcPr>
            <w:tcW w:w="1276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jc w:val="right"/>
              <w:rPr>
                <w:rFonts w:cs="Calibri"/>
                <w:sz w:val="20"/>
                <w:szCs w:val="24"/>
              </w:rPr>
            </w:pPr>
          </w:p>
        </w:tc>
      </w:tr>
    </w:tbl>
    <w:p>
      <w:pPr>
        <w:pStyle w:val="style0"/>
        <w:ind w:left="0" w:right="0" w:firstLine="0"/>
        <w:rPr/>
      </w:pPr>
    </w:p>
    <w:p>
      <w:pPr>
        <w:pStyle w:val="style0"/>
        <w:rPr>
          <w:rFonts w:cs="Calibri"/>
          <w:szCs w:val="24"/>
        </w:rPr>
      </w:pPr>
      <w:r>
        <w:rPr>
          <w:rFonts w:cs="Calibri"/>
          <w:szCs w:val="24"/>
        </w:rPr>
        <w:t>La inscripción en la categoría Delegado ponente PRESENCIAL (profesional o estudiante, nacional y extranjero), concede derecho a credencial, módulo de acreditación, programa general y científico, presentar los resultados de su investigación, certificado de participación, acceso a todas las actividades científicas y sociales, de apertura y clausura de la convención.</w:t>
      </w:r>
    </w:p>
    <w:p>
      <w:pPr>
        <w:pStyle w:val="style0"/>
        <w:rPr>
          <w:rFonts w:cs="Calibri"/>
          <w:szCs w:val="24"/>
        </w:rPr>
      </w:pPr>
      <w:r>
        <w:rPr>
          <w:rFonts w:cs="Calibri"/>
          <w:szCs w:val="24"/>
        </w:rPr>
        <w:t>La categoría Participante (solo para participantes extranjeros), tiene derecho a credencial, programa general y científico, acceso a todas las actividades científicas y sociales, de apertura y clausura de la convención.</w:t>
      </w:r>
    </w:p>
    <w:p>
      <w:pPr>
        <w:pStyle w:val="style0"/>
        <w:rPr>
          <w:rFonts w:cs="Calibri"/>
          <w:szCs w:val="24"/>
        </w:rPr>
      </w:pPr>
      <w:r>
        <w:rPr>
          <w:rFonts w:cs="Calibri"/>
          <w:szCs w:val="24"/>
        </w:rPr>
        <w:t>La categoría Delegado ponente VIRTUAL (profesional o estudiante nacional y extranjero) otorga derecho a programa científico del evento, presentar los resultados de su investigación</w:t>
      </w:r>
      <w:r>
        <w:rPr>
          <w:rFonts w:cs="Calibri"/>
          <w:szCs w:val="24"/>
        </w:rPr>
        <w:t xml:space="preserve"> y certificado de participación y </w:t>
      </w:r>
      <w:r>
        <w:rPr>
          <w:rFonts w:cs="Calibri"/>
          <w:szCs w:val="24"/>
        </w:rPr>
        <w:t xml:space="preserve">acceso a todas las actividades científicas </w:t>
      </w:r>
      <w:r>
        <w:rPr>
          <w:rFonts w:cs="Calibri"/>
          <w:szCs w:val="24"/>
        </w:rPr>
        <w:t>on-line</w:t>
      </w:r>
      <w:r>
        <w:rPr>
          <w:rFonts w:cs="Calibri"/>
          <w:szCs w:val="24"/>
        </w:rPr>
        <w:t>, de apertura y clausura de la convención.</w:t>
      </w:r>
    </w:p>
    <w:p>
      <w:pPr>
        <w:pStyle w:val="style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PARA ORGANIZAR SU VIAJE A CUBA</w:t>
      </w:r>
      <w:r>
        <w:rPr>
          <w:rFonts w:cs="Calibri"/>
          <w:b/>
          <w:bCs/>
          <w:szCs w:val="24"/>
          <w:lang w:val="en-US"/>
        </w:rPr>
        <w:t>.</w:t>
      </w:r>
    </w:p>
    <w:p>
      <w:pPr>
        <w:pStyle w:val="style0"/>
        <w:rPr>
          <w:rFonts w:cs="Calibri"/>
          <w:szCs w:val="24"/>
        </w:rPr>
      </w:pPr>
      <w:r>
        <w:rPr>
          <w:rFonts w:cs="Calibri"/>
          <w:szCs w:val="24"/>
        </w:rPr>
        <w:t xml:space="preserve">Puede contactar al receptivo oficial de la IV CONVENCIÓN INTERNACIONAL VARONA 2025, la Agencia de viajes </w:t>
      </w:r>
      <w:r>
        <w:rPr>
          <w:rFonts w:cs="Calibri"/>
          <w:szCs w:val="24"/>
        </w:rPr>
        <w:t>Havanatur</w:t>
      </w:r>
      <w:r>
        <w:rPr>
          <w:rFonts w:cs="Calibri"/>
          <w:szCs w:val="24"/>
        </w:rPr>
        <w:t xml:space="preserve"> S.A. </w:t>
      </w:r>
      <w:r>
        <w:rPr/>
        <w:fldChar w:fldCharType="begin"/>
      </w:r>
      <w:r>
        <w:instrText xml:space="preserve"> HYPERLINK "mailto:rvas2.eventos@havanatur.cu" </w:instrText>
      </w:r>
      <w:r>
        <w:rPr/>
        <w:fldChar w:fldCharType="separate"/>
      </w:r>
      <w:r>
        <w:rPr>
          <w:rStyle w:val="style85"/>
          <w:rFonts w:cs="Calibri"/>
          <w:szCs w:val="24"/>
        </w:rPr>
        <w:t>rvas2.eventos@havanatur.cu</w:t>
      </w:r>
      <w:r>
        <w:rPr/>
        <w:fldChar w:fldCharType="end"/>
      </w:r>
      <w:r>
        <w:rPr>
          <w:rFonts w:cs="Calibri"/>
          <w:szCs w:val="24"/>
        </w:rPr>
        <w:t xml:space="preserve"> </w:t>
      </w:r>
    </w:p>
    <w:p>
      <w:pPr>
        <w:pStyle w:val="style0"/>
        <w:spacing w:after="0" w:lineRule="auto" w:line="259"/>
        <w:ind w:left="0" w:right="0" w:firstLine="0"/>
        <w:jc w:val="left"/>
        <w:rPr>
          <w:sz w:val="20"/>
        </w:rPr>
      </w:pPr>
      <w:r>
        <w:rPr>
          <w:sz w:val="20"/>
        </w:rPr>
        <w:t>Para cualquier duda puede dirigirse a</w:t>
      </w:r>
      <w:r>
        <w:rPr>
          <w:sz w:val="20"/>
        </w:rPr>
        <w:t>:</w:t>
      </w:r>
      <w:r>
        <w:rPr>
          <w:sz w:val="20"/>
        </w:rPr>
        <w:t xml:space="preserve"> </w:t>
      </w:r>
    </w:p>
    <w:p>
      <w:pPr>
        <w:pStyle w:val="style0"/>
        <w:spacing w:after="0" w:lineRule="auto" w:line="259"/>
        <w:ind w:left="0" w:right="0" w:firstLine="0"/>
        <w:jc w:val="left"/>
        <w:rPr>
          <w:sz w:val="20"/>
        </w:rPr>
      </w:pPr>
      <w:r>
        <w:rPr/>
        <w:fldChar w:fldCharType="begin"/>
      </w:r>
      <w:r>
        <w:instrText xml:space="preserve"> HYPERLINK "mailto:convencionv@gmail.com" </w:instrText>
      </w:r>
      <w:r>
        <w:rPr/>
        <w:fldChar w:fldCharType="separate"/>
      </w:r>
      <w:r>
        <w:rPr>
          <w:rStyle w:val="style85"/>
          <w:sz w:val="20"/>
        </w:rPr>
        <w:t>convencionv@gmail.com</w:t>
      </w:r>
      <w:r>
        <w:rPr/>
        <w:fldChar w:fldCharType="end"/>
      </w:r>
      <w:r>
        <w:rPr>
          <w:sz w:val="20"/>
        </w:rPr>
        <w:t xml:space="preserve"> </w:t>
      </w:r>
    </w:p>
    <w:sectPr>
      <w:type w:val="continuous"/>
      <w:pgSz w:w="12240" w:h="15840" w:orient="portrait"/>
      <w:pgMar w:top="1440" w:right="1440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Lucida Calligraphy">
    <w:altName w:val="Lucida Calligraphy"/>
    <w:panose1 w:val="030101010100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7E05D8"/>
    <w:lvl w:ilvl="0" w:tplc="AC328F20">
      <w:start w:val="1"/>
      <w:numFmt w:val="bullet"/>
      <w:lvlText w:val="•"/>
      <w:lvlJc w:val="left"/>
      <w:pPr>
        <w:ind w:left="283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4671E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0966E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4880A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01CFC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E7146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64418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A88BC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0559C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C6C4C3CC"/>
    <w:lvl w:ilvl="0" w:tplc="0F72C7D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7952D03C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E54F3F8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13C2380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9A0AF190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E4B0DF56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768C5AE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BDB0B708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5A7CADE6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08A64670"/>
    <w:lvl w:ilvl="0" w:tplc="AD9A77AA">
      <w:start w:val="1"/>
      <w:numFmt w:val="bullet"/>
      <w:lvlText w:val="•"/>
      <w:lvlJc w:val="left"/>
      <w:pPr>
        <w:ind w:left="708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E996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2488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8ED44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6AD64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0F448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02238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AF90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6DF52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B66037B8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cs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4FA235C"/>
    <w:lvl w:ilvl="0" w:tplc="E4BCB83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3D240CE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9EB62128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3FA03DC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2FE265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EBC0A1B8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970C49A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486F580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BB1A7EE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D7462068"/>
    <w:lvl w:ilvl="0" w:tplc="0C0A0003">
      <w:start w:val="1"/>
      <w:numFmt w:val="bullet"/>
      <w:lvlText w:val="o"/>
      <w:lvlJc w:val="left"/>
      <w:pPr>
        <w:ind w:left="708"/>
      </w:pPr>
      <w:rPr>
        <w:rFonts w:ascii="Courier New" w:cs="Courier New" w:hAnsi="Courier New" w:hint="default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E996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2488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8ED44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6AD64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0F448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02238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AF90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6DF52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158884E4"/>
    <w:lvl w:ilvl="0" w:tplc="0C0A0003">
      <w:start w:val="1"/>
      <w:numFmt w:val="bullet"/>
      <w:lvlText w:val="o"/>
      <w:lvlJc w:val="left"/>
      <w:pPr>
        <w:ind w:left="705" w:hanging="360"/>
      </w:pPr>
      <w:rPr>
        <w:rFonts w:ascii="Courier New" w:cs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79612CA"/>
    <w:lvl w:ilvl="0" w:tplc="0C0A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FE6C0F02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FF26E38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F06DEC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E7A2EBC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81EA57F2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6C94D2D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2D61024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B8B2F7F4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C21AD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4A2DB88"/>
    <w:lvl w:ilvl="0" w:tplc="0C0A0003">
      <w:start w:val="1"/>
      <w:numFmt w:val="bullet"/>
      <w:lvlText w:val="o"/>
      <w:lvlJc w:val="left"/>
      <w:pPr>
        <w:ind w:left="708"/>
      </w:pPr>
      <w:rPr>
        <w:rFonts w:ascii="Courier New" w:cs="Courier New" w:hAnsi="Courier New" w:hint="default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E996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2488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8ED44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6AD64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0F448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02238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AF90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6DF52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90E4DE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D425D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D8C07F2"/>
    <w:lvl w:ilvl="0" w:tplc="4148F35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FE6C0F02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FF26E38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F06DEC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E7A2EBC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81EA57F2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6C94D2D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2D61024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B8B2F7F4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000000D"/>
    <w:multiLevelType w:val="hybridMultilevel"/>
    <w:tmpl w:val="DB6C7A74"/>
    <w:lvl w:ilvl="0" w:tplc="31E81164">
      <w:start w:val="1"/>
      <w:numFmt w:val="decimal"/>
      <w:lvlText w:val="%1."/>
      <w:lvlJc w:val="left"/>
      <w:pPr>
        <w:ind w:left="283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2DCAA">
      <w:start w:val="1"/>
      <w:numFmt w:val="lowerLetter"/>
      <w:lvlText w:val="%2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9CF4A2">
      <w:start w:val="1"/>
      <w:numFmt w:val="lowerRoman"/>
      <w:lvlText w:val="%3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6FE98">
      <w:start w:val="1"/>
      <w:numFmt w:val="decimal"/>
      <w:lvlText w:val="%4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45E08">
      <w:start w:val="1"/>
      <w:numFmt w:val="lowerLetter"/>
      <w:lvlText w:val="%5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64DD08">
      <w:start w:val="1"/>
      <w:numFmt w:val="lowerRoman"/>
      <w:lvlText w:val="%6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6A7F6">
      <w:start w:val="1"/>
      <w:numFmt w:val="decimal"/>
      <w:lvlText w:val="%7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09E50">
      <w:start w:val="1"/>
      <w:numFmt w:val="lowerLetter"/>
      <w:lvlText w:val="%8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853B0">
      <w:start w:val="1"/>
      <w:numFmt w:val="lowerRoman"/>
      <w:lvlText w:val="%9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000000E"/>
    <w:multiLevelType w:val="hybridMultilevel"/>
    <w:tmpl w:val="A9CA2CBE"/>
    <w:lvl w:ilvl="0" w:tplc="F6966C9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78586026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25408A8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432662F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3826D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57FCB698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9ADEE33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C70EA5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3E2A5432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DB6C7A74"/>
    <w:lvl w:ilvl="0" w:tplc="31E81164">
      <w:start w:val="1"/>
      <w:numFmt w:val="decimal"/>
      <w:lvlText w:val="%1."/>
      <w:lvlJc w:val="left"/>
      <w:pPr>
        <w:ind w:left="283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2DCAA">
      <w:start w:val="1"/>
      <w:numFmt w:val="lowerLetter"/>
      <w:lvlText w:val="%2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9CF4A2">
      <w:start w:val="1"/>
      <w:numFmt w:val="lowerRoman"/>
      <w:lvlText w:val="%3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6FE98">
      <w:start w:val="1"/>
      <w:numFmt w:val="decimal"/>
      <w:lvlText w:val="%4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45E08">
      <w:start w:val="1"/>
      <w:numFmt w:val="lowerLetter"/>
      <w:lvlText w:val="%5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64DD08">
      <w:start w:val="1"/>
      <w:numFmt w:val="lowerRoman"/>
      <w:lvlText w:val="%6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6A7F6">
      <w:start w:val="1"/>
      <w:numFmt w:val="decimal"/>
      <w:lvlText w:val="%7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09E50">
      <w:start w:val="1"/>
      <w:numFmt w:val="lowerLetter"/>
      <w:lvlText w:val="%8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853B0">
      <w:start w:val="1"/>
      <w:numFmt w:val="lowerRoman"/>
      <w:lvlText w:val="%9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14"/>
  </w:num>
  <w:num w:numId="12">
    <w:abstractNumId w:val="5"/>
  </w:num>
  <w:num w:numId="13">
    <w:abstractNumId w:val="3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s-ES" w:bidi="ar-SA" w:eastAsia="es-E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" w:lineRule="auto" w:line="249"/>
      <w:ind w:left="10" w:right="48" w:hanging="10"/>
      <w:jc w:val="both"/>
    </w:pPr>
    <w:rPr>
      <w:rFonts w:ascii="Arial" w:cs="Arial" w:eastAsia="Arial" w:hAnsi="Arial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 w:right="0" w:firstLine="0"/>
      <w:jc w:val="left"/>
      <w:contextualSpacing/>
    </w:pPr>
    <w:rPr>
      <w:rFonts w:ascii="Calibri" w:cs="宋体" w:eastAsia="Calibri" w:hAnsi="Calibri"/>
      <w:color w:val="auto"/>
      <w:lang w:val="es-ES_tradnl" w:eastAsia="en-US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Calibri"/>
      <w:kern w:val="2"/>
      <w:lang w:eastAsia="en-US"/>
      <w14:ligatures xmlns:w14="http://schemas.microsoft.com/office/word/2010/wordml"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83D0-8F72-4C38-94E8-FBB2A61F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1132</Words>
  <Pages>3</Pages>
  <Characters>6430</Characters>
  <Application>WPS Office</Application>
  <DocSecurity>0</DocSecurity>
  <Paragraphs>158</Paragraphs>
  <ScaleCrop>false</ScaleCrop>
  <LinksUpToDate>false</LinksUpToDate>
  <CharactersWithSpaces>7489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2025-03-04T19:00:22Z</dcterms:created>
  <dc:creator>Isabel</dc:creator>
  <lastModifiedBy>2409BRN2CA</lastModifiedBy>
  <dcterms:modified xsi:type="dcterms:W3CDTF">2025-03-04T19:00:22Z</dcterms:modified>
  <revision>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2d96baa5e2d043619182e179cbf2147f</vt:lpwstr>
  </property>
</Properties>
</file>